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83" w:rsidRDefault="007A2BF9" w:rsidP="007A2BF9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A2BF9">
        <w:rPr>
          <w:rFonts w:ascii="標楷體" w:eastAsia="標楷體" w:hAnsi="標楷體" w:hint="eastAsia"/>
          <w:b/>
          <w:sz w:val="36"/>
          <w:szCs w:val="36"/>
        </w:rPr>
        <w:t>國家人權委員會2023</w:t>
      </w:r>
      <w:r w:rsidRPr="007A2BF9">
        <w:rPr>
          <w:rFonts w:ascii="標楷體" w:eastAsia="標楷體" w:hAnsi="標楷體"/>
          <w:b/>
          <w:sz w:val="36"/>
          <w:szCs w:val="36"/>
        </w:rPr>
        <w:t>-2026</w:t>
      </w:r>
      <w:r w:rsidRPr="007A2BF9">
        <w:rPr>
          <w:rFonts w:ascii="標楷體" w:eastAsia="標楷體" w:hAnsi="標楷體" w:hint="eastAsia"/>
          <w:b/>
          <w:sz w:val="36"/>
          <w:szCs w:val="36"/>
        </w:rPr>
        <w:t>中程策略計畫(草案)</w:t>
      </w:r>
    </w:p>
    <w:p w:rsidR="007A2BF9" w:rsidRDefault="007A2BF9" w:rsidP="007A2BF9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提交意見格式</w:t>
      </w:r>
    </w:p>
    <w:p w:rsidR="007A2BF9" w:rsidRPr="007A2BF9" w:rsidRDefault="007A2BF9" w:rsidP="007A2BF9">
      <w:pPr>
        <w:pStyle w:val="a3"/>
        <w:widowControl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7A2BF9">
        <w:rPr>
          <w:rFonts w:ascii="標楷體" w:eastAsia="標楷體" w:hAnsi="標楷體" w:hint="eastAsia"/>
          <w:b/>
          <w:sz w:val="32"/>
          <w:szCs w:val="32"/>
        </w:rPr>
        <w:t>提交者基本資料</w:t>
      </w:r>
    </w:p>
    <w:p w:rsidR="007A2BF9" w:rsidRDefault="007A2BF9" w:rsidP="007A2BF9">
      <w:pPr>
        <w:pStyle w:val="a3"/>
        <w:widowControl/>
        <w:numPr>
          <w:ilvl w:val="0"/>
          <w:numId w:val="2"/>
        </w:numPr>
        <w:spacing w:line="500" w:lineRule="exact"/>
        <w:ind w:leftChars="0" w:left="1134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姓名：</w:t>
      </w:r>
    </w:p>
    <w:p w:rsidR="007A2BF9" w:rsidRDefault="007A2BF9" w:rsidP="007A2BF9">
      <w:pPr>
        <w:pStyle w:val="a3"/>
        <w:widowControl/>
        <w:numPr>
          <w:ilvl w:val="0"/>
          <w:numId w:val="2"/>
        </w:numPr>
        <w:spacing w:line="500" w:lineRule="exact"/>
        <w:ind w:leftChars="0" w:left="1134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職稱：</w:t>
      </w:r>
    </w:p>
    <w:p w:rsidR="007A2BF9" w:rsidRDefault="007A2BF9" w:rsidP="007A2BF9">
      <w:pPr>
        <w:pStyle w:val="a3"/>
        <w:widowControl/>
        <w:numPr>
          <w:ilvl w:val="0"/>
          <w:numId w:val="2"/>
        </w:numPr>
        <w:spacing w:line="500" w:lineRule="exact"/>
        <w:ind w:leftChars="0" w:left="1134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所屬單位：</w:t>
      </w:r>
    </w:p>
    <w:p w:rsidR="009C5DC6" w:rsidRDefault="009C5DC6" w:rsidP="007A2BF9">
      <w:pPr>
        <w:pStyle w:val="a3"/>
        <w:widowControl/>
        <w:numPr>
          <w:ilvl w:val="0"/>
          <w:numId w:val="2"/>
        </w:numPr>
        <w:spacing w:line="500" w:lineRule="exact"/>
        <w:ind w:leftChars="0" w:left="1134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聯絡電子郵件：</w:t>
      </w:r>
      <w:bookmarkStart w:id="0" w:name="_GoBack"/>
      <w:bookmarkEnd w:id="0"/>
    </w:p>
    <w:p w:rsidR="007A2BF9" w:rsidRDefault="007A2BF9" w:rsidP="007A2BF9">
      <w:pPr>
        <w:pStyle w:val="a3"/>
        <w:widowControl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7A2BF9">
        <w:rPr>
          <w:rFonts w:ascii="標楷體" w:eastAsia="標楷體" w:hAnsi="標楷體" w:hint="eastAsia"/>
          <w:b/>
          <w:sz w:val="32"/>
          <w:szCs w:val="32"/>
        </w:rPr>
        <w:t>提交意見表</w:t>
      </w:r>
    </w:p>
    <w:tbl>
      <w:tblPr>
        <w:tblStyle w:val="a4"/>
        <w:tblW w:w="6066" w:type="pct"/>
        <w:tblInd w:w="-714" w:type="dxa"/>
        <w:tblLook w:val="04A0" w:firstRow="1" w:lastRow="0" w:firstColumn="1" w:lastColumn="0" w:noHBand="0" w:noVBand="1"/>
      </w:tblPr>
      <w:tblGrid>
        <w:gridCol w:w="1711"/>
        <w:gridCol w:w="4527"/>
        <w:gridCol w:w="3827"/>
      </w:tblGrid>
      <w:tr w:rsidR="002D13BF" w:rsidRPr="002D13BF" w:rsidTr="002D13BF">
        <w:trPr>
          <w:tblHeader/>
        </w:trPr>
        <w:tc>
          <w:tcPr>
            <w:tcW w:w="850" w:type="pct"/>
            <w:shd w:val="clear" w:color="auto" w:fill="D9E2F3" w:themeFill="accent1" w:themeFillTint="33"/>
          </w:tcPr>
          <w:p w:rsidR="002D13BF" w:rsidRPr="002D13BF" w:rsidRDefault="002D13BF" w:rsidP="00B61F2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bookmarkStart w:id="1" w:name="_Hlk135915610"/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策略</w:t>
            </w:r>
          </w:p>
        </w:tc>
        <w:tc>
          <w:tcPr>
            <w:tcW w:w="2249" w:type="pct"/>
            <w:shd w:val="clear" w:color="auto" w:fill="D9E2F3" w:themeFill="accent1" w:themeFillTint="33"/>
          </w:tcPr>
          <w:p w:rsidR="002D13BF" w:rsidRPr="002D13BF" w:rsidRDefault="002D13BF" w:rsidP="00B61F2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議題</w:t>
            </w:r>
          </w:p>
        </w:tc>
        <w:tc>
          <w:tcPr>
            <w:tcW w:w="1901" w:type="pct"/>
            <w:shd w:val="clear" w:color="auto" w:fill="D9E2F3" w:themeFill="accent1" w:themeFillTint="33"/>
          </w:tcPr>
          <w:p w:rsidR="002D13BF" w:rsidRPr="002D13BF" w:rsidRDefault="002D13BF" w:rsidP="00B61F2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提交意見內容</w:t>
            </w:r>
          </w:p>
        </w:tc>
      </w:tr>
      <w:tr w:rsidR="002D13BF" w:rsidRPr="002D13BF" w:rsidTr="002D13BF">
        <w:tc>
          <w:tcPr>
            <w:tcW w:w="850" w:type="pct"/>
            <w:vMerge w:val="restar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策略</w:t>
            </w:r>
            <w:proofErr w:type="gramStart"/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優化本會運作效能</w:t>
            </w: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1.1健全本會運作法制。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1.2建立監督落實CRPD機制及</w:t>
            </w:r>
            <w:proofErr w:type="gramStart"/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研</w:t>
            </w:r>
            <w:proofErr w:type="gramEnd"/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議兒童權利監測機制。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544" w:hangingChars="170" w:hanging="544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1.3逐步建立參與GANHRI評鑑機制。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1.4強化國家人權業務及國際人權公約落實之監督機制。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1.5建立民間團體參與及對話機制。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1.6強化人權申訴管道。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 w:val="restar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策略二 </w:t>
            </w:r>
          </w:p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監測及促進處境不利群體之人權</w:t>
            </w: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2.1推動禁止酷刑公約及其任擇議定書國內法化。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2.2探討強制拆遷戶適足居住權。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2.3推動逐步廢除死刑</w:t>
            </w:r>
            <w:r w:rsidR="0059328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並促進社會對話。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2.4促進平等近用司法。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2.5改善婦女就業與經濟安全。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2.6監測心理社會障礙觸法者人權保障。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2.7監督移工人權保障。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2.8促進族群主流化與監測原住民族重要權利。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2" w:hangingChars="7" w:hanging="2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2.9檢視校園師對生暴力處理機制。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2.10探討及研究新興議題對人權之影響。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 w:val="restar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策略</w:t>
            </w:r>
            <w:proofErr w:type="gramStart"/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</w:t>
            </w:r>
            <w:proofErr w:type="gramEnd"/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監督及推廣人權教育</w:t>
            </w: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3.1提升公務員、警察、矯正人員、司法人員、軍人等人權知能。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544" w:hangingChars="170" w:hanging="544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3.2促進媒體從業人員共同保障人權。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2D13BF" w:rsidRPr="002D13BF" w:rsidTr="002D13BF">
        <w:tc>
          <w:tcPr>
            <w:tcW w:w="850" w:type="pct"/>
            <w:vMerge/>
          </w:tcPr>
          <w:p w:rsidR="002D13BF" w:rsidRPr="002D13BF" w:rsidRDefault="002D13BF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2D13BF" w:rsidRPr="002D13BF" w:rsidRDefault="002D13BF" w:rsidP="00150620">
            <w:pPr>
              <w:spacing w:line="52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3.3成立人權資料中心，掌握國際人權趨勢，促進人權資訊的應用。</w:t>
            </w:r>
          </w:p>
        </w:tc>
        <w:tc>
          <w:tcPr>
            <w:tcW w:w="1901" w:type="pct"/>
          </w:tcPr>
          <w:p w:rsidR="002D13BF" w:rsidRPr="002D13BF" w:rsidRDefault="002D13BF" w:rsidP="00B61F20">
            <w:pPr>
              <w:spacing w:line="520" w:lineRule="exact"/>
              <w:ind w:left="544" w:hangingChars="170" w:hanging="544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50620" w:rsidRPr="002D13BF" w:rsidTr="002D13BF">
        <w:tc>
          <w:tcPr>
            <w:tcW w:w="850" w:type="pct"/>
            <w:vMerge w:val="restart"/>
          </w:tcPr>
          <w:p w:rsidR="00150620" w:rsidRPr="002D13BF" w:rsidRDefault="00150620" w:rsidP="00B61F20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策略四 </w:t>
            </w:r>
          </w:p>
          <w:p w:rsidR="00150620" w:rsidRPr="002D13BF" w:rsidRDefault="00150620" w:rsidP="00B61F2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積極參與國際人權合作網絡</w:t>
            </w:r>
          </w:p>
        </w:tc>
        <w:tc>
          <w:tcPr>
            <w:tcW w:w="2249" w:type="pct"/>
          </w:tcPr>
          <w:p w:rsidR="00150620" w:rsidRPr="002D13BF" w:rsidRDefault="00150620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4.1參與ICERD國家報告國際審查，接軌國際人權機制。</w:t>
            </w:r>
          </w:p>
        </w:tc>
        <w:tc>
          <w:tcPr>
            <w:tcW w:w="1901" w:type="pct"/>
          </w:tcPr>
          <w:p w:rsidR="00150620" w:rsidRPr="002D13BF" w:rsidRDefault="00150620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50620" w:rsidRPr="002D13BF" w:rsidTr="002D13BF">
        <w:tc>
          <w:tcPr>
            <w:tcW w:w="850" w:type="pct"/>
            <w:vMerge/>
          </w:tcPr>
          <w:p w:rsidR="00150620" w:rsidRPr="002D13BF" w:rsidRDefault="00150620" w:rsidP="00B61F20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49" w:type="pct"/>
          </w:tcPr>
          <w:p w:rsidR="00150620" w:rsidRPr="002D13BF" w:rsidRDefault="00150620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13B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4.2積極參與國際人權事務，充實國際人權事務專才。</w:t>
            </w:r>
          </w:p>
        </w:tc>
        <w:tc>
          <w:tcPr>
            <w:tcW w:w="1901" w:type="pct"/>
          </w:tcPr>
          <w:p w:rsidR="00150620" w:rsidRPr="002D13BF" w:rsidRDefault="00150620" w:rsidP="00B61F2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50620" w:rsidRPr="002D13BF" w:rsidTr="00150620">
        <w:tc>
          <w:tcPr>
            <w:tcW w:w="3099" w:type="pct"/>
            <w:gridSpan w:val="2"/>
          </w:tcPr>
          <w:p w:rsidR="00150620" w:rsidRPr="00150620" w:rsidRDefault="00150620" w:rsidP="00B61F20">
            <w:pPr>
              <w:spacing w:line="520" w:lineRule="exact"/>
              <w:ind w:left="673" w:hangingChars="210" w:hanging="673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5062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(如</w:t>
            </w:r>
            <w:r w:rsidR="005D1D2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前言、計畫形成過程等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01" w:type="pct"/>
          </w:tcPr>
          <w:p w:rsidR="00150620" w:rsidRPr="002D13BF" w:rsidRDefault="00150620" w:rsidP="00B61F20">
            <w:pPr>
              <w:spacing w:line="520" w:lineRule="exact"/>
              <w:ind w:left="672" w:hangingChars="210" w:hanging="672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bookmarkEnd w:id="1"/>
    </w:tbl>
    <w:p w:rsidR="007A2BF9" w:rsidRPr="002D13BF" w:rsidRDefault="007A2BF9" w:rsidP="007A2BF9">
      <w:pPr>
        <w:widowControl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7A2BF9" w:rsidRPr="002D13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39" w:rsidRDefault="00735439" w:rsidP="00BB0417">
      <w:r>
        <w:separator/>
      </w:r>
    </w:p>
  </w:endnote>
  <w:endnote w:type="continuationSeparator" w:id="0">
    <w:p w:rsidR="00735439" w:rsidRDefault="00735439" w:rsidP="00BB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347860"/>
      <w:docPartObj>
        <w:docPartGallery w:val="Page Numbers (Bottom of Page)"/>
        <w:docPartUnique/>
      </w:docPartObj>
    </w:sdtPr>
    <w:sdtEndPr/>
    <w:sdtContent>
      <w:p w:rsidR="00BB0417" w:rsidRDefault="00BB04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0417" w:rsidRDefault="00BB04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39" w:rsidRDefault="00735439" w:rsidP="00BB0417">
      <w:r>
        <w:separator/>
      </w:r>
    </w:p>
  </w:footnote>
  <w:footnote w:type="continuationSeparator" w:id="0">
    <w:p w:rsidR="00735439" w:rsidRDefault="00735439" w:rsidP="00BB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020E"/>
    <w:multiLevelType w:val="hybridMultilevel"/>
    <w:tmpl w:val="F9A033F2"/>
    <w:lvl w:ilvl="0" w:tplc="39B41C82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標楷體" w:hint="default"/>
        <w:b w:val="0"/>
        <w:i w:val="0"/>
        <w:color w:val="auto"/>
        <w:kern w:val="2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C8E40DD"/>
    <w:multiLevelType w:val="hybridMultilevel"/>
    <w:tmpl w:val="060A2B82"/>
    <w:lvl w:ilvl="0" w:tplc="7D5496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F8"/>
    <w:rsid w:val="00150620"/>
    <w:rsid w:val="001B07C8"/>
    <w:rsid w:val="001D7C83"/>
    <w:rsid w:val="002D13BF"/>
    <w:rsid w:val="00336E1A"/>
    <w:rsid w:val="003A4FFE"/>
    <w:rsid w:val="0046075F"/>
    <w:rsid w:val="00593280"/>
    <w:rsid w:val="005D1D29"/>
    <w:rsid w:val="005E04A4"/>
    <w:rsid w:val="00607CE3"/>
    <w:rsid w:val="00735439"/>
    <w:rsid w:val="007625EE"/>
    <w:rsid w:val="00764D1D"/>
    <w:rsid w:val="007A2BF9"/>
    <w:rsid w:val="009C5DC6"/>
    <w:rsid w:val="00BB0417"/>
    <w:rsid w:val="00D65953"/>
    <w:rsid w:val="00D953F8"/>
    <w:rsid w:val="00E2373A"/>
    <w:rsid w:val="00E8106D"/>
    <w:rsid w:val="00F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2062C"/>
  <w15:chartTrackingRefBased/>
  <w15:docId w15:val="{E48846BB-9689-4A25-BBF6-8269462F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F9"/>
    <w:pPr>
      <w:ind w:leftChars="200" w:left="480"/>
    </w:pPr>
  </w:style>
  <w:style w:type="table" w:styleId="a4">
    <w:name w:val="Table Grid"/>
    <w:basedOn w:val="a1"/>
    <w:uiPriority w:val="39"/>
    <w:rsid w:val="00F7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04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0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04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張蓓詠</dc:creator>
  <cp:keywords/>
  <dc:description/>
  <cp:lastModifiedBy>張蓓詠</cp:lastModifiedBy>
  <cp:revision>3</cp:revision>
  <dcterms:created xsi:type="dcterms:W3CDTF">2023-06-08T09:29:00Z</dcterms:created>
  <dcterms:modified xsi:type="dcterms:W3CDTF">2023-06-08T09:30:00Z</dcterms:modified>
</cp:coreProperties>
</file>